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keepNext w:val="0"/>
        <w:keepLines w:val="0"/>
        <w:pageBreakBefore w:val="0"/>
        <w:widowControl/>
        <w:wordWrap/>
        <w:overflowPunct/>
        <w:bidi w:val="0"/>
        <w:spacing w:line="240" w:lineRule="auto"/>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keepNext w:val="0"/>
        <w:keepLines w:val="0"/>
        <w:pageBreakBefore w:val="0"/>
        <w:widowControl/>
        <w:wordWrap/>
        <w:overflowPunct/>
        <w:bidi w:val="0"/>
        <w:spacing w:line="240" w:lineRule="auto"/>
        <w:ind w:firstLine="650"/>
      </w:pPr>
    </w:p>
    <w:p w14:paraId="5DCDE2EF">
      <w:pPr>
        <w:keepNext w:val="0"/>
        <w:keepLines w:val="0"/>
        <w:pageBreakBefore w:val="0"/>
        <w:widowControl/>
        <w:wordWrap/>
        <w:overflowPunct/>
        <w:bidi w:val="0"/>
        <w:spacing w:before="240" w:line="240" w:lineRule="auto"/>
        <w:ind w:left="3537" w:firstLine="878"/>
        <w:jc w:val="center"/>
        <w:rPr>
          <w:rFonts w:hint="eastAsia" w:ascii="仿宋" w:hAnsi="仿宋" w:eastAsia="仿宋" w:cs="仿宋"/>
          <w:spacing w:val="39"/>
          <w:sz w:val="40"/>
          <w:szCs w:val="40"/>
        </w:rPr>
      </w:pPr>
    </w:p>
    <w:p w14:paraId="3E87DBD1">
      <w:pPr>
        <w:keepNext w:val="0"/>
        <w:keepLines w:val="0"/>
        <w:pageBreakBefore w:val="0"/>
        <w:widowControl/>
        <w:wordWrap/>
        <w:overflowPunct/>
        <w:bidi w:val="0"/>
        <w:spacing w:before="240" w:line="24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lang w:val="en-US" w:eastAsia="zh-CN"/>
        </w:rPr>
        <w:t>南陵县县级综合养老服务中心项目初步设计概算编制</w:t>
      </w:r>
      <w:r>
        <w:rPr>
          <w:rFonts w:hint="eastAsia" w:ascii="宋体" w:hAnsi="宋体" w:eastAsia="宋体" w:cs="宋体"/>
          <w:b/>
          <w:bCs/>
          <w:spacing w:val="-21"/>
          <w:sz w:val="32"/>
          <w:szCs w:val="32"/>
        </w:rPr>
        <w:t>询价采购文件</w:t>
      </w:r>
    </w:p>
    <w:p w14:paraId="7D08B777">
      <w:pPr>
        <w:keepNext w:val="0"/>
        <w:keepLines w:val="0"/>
        <w:pageBreakBefore w:val="0"/>
        <w:widowControl/>
        <w:wordWrap/>
        <w:overflowPunct/>
        <w:bidi w:val="0"/>
        <w:spacing w:line="240" w:lineRule="auto"/>
        <w:jc w:val="center"/>
        <w:rPr>
          <w:sz w:val="32"/>
          <w:szCs w:val="32"/>
        </w:rPr>
      </w:pPr>
    </w:p>
    <w:p w14:paraId="52734891">
      <w:pPr>
        <w:keepNext w:val="0"/>
        <w:keepLines w:val="0"/>
        <w:pageBreakBefore w:val="0"/>
        <w:widowControl/>
        <w:wordWrap/>
        <w:overflowPunct/>
        <w:bidi w:val="0"/>
        <w:spacing w:line="240" w:lineRule="auto"/>
        <w:jc w:val="center"/>
        <w:rPr>
          <w:sz w:val="32"/>
          <w:szCs w:val="32"/>
        </w:rPr>
      </w:pPr>
    </w:p>
    <w:p w14:paraId="2BB3B1BA">
      <w:pPr>
        <w:keepNext w:val="0"/>
        <w:keepLines w:val="0"/>
        <w:pageBreakBefore w:val="0"/>
        <w:widowControl/>
        <w:wordWrap/>
        <w:overflowPunct/>
        <w:bidi w:val="0"/>
        <w:spacing w:before="240" w:line="240" w:lineRule="auto"/>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ZTGHY-XJ2026006</w:t>
      </w:r>
    </w:p>
    <w:p w14:paraId="27B5F840">
      <w:pPr>
        <w:keepNext w:val="0"/>
        <w:keepLines w:val="0"/>
        <w:pageBreakBefore w:val="0"/>
        <w:widowControl/>
        <w:wordWrap/>
        <w:overflowPunct/>
        <w:bidi w:val="0"/>
        <w:spacing w:line="240" w:lineRule="auto"/>
        <w:jc w:val="center"/>
        <w:rPr>
          <w:sz w:val="32"/>
          <w:szCs w:val="32"/>
        </w:rPr>
      </w:pPr>
    </w:p>
    <w:p w14:paraId="0B017443">
      <w:pPr>
        <w:keepNext w:val="0"/>
        <w:keepLines w:val="0"/>
        <w:pageBreakBefore w:val="0"/>
        <w:widowControl/>
        <w:wordWrap/>
        <w:overflowPunct/>
        <w:bidi w:val="0"/>
        <w:spacing w:line="240" w:lineRule="auto"/>
        <w:rPr>
          <w:sz w:val="32"/>
          <w:szCs w:val="32"/>
        </w:rPr>
      </w:pPr>
    </w:p>
    <w:p w14:paraId="51D5ECFB">
      <w:pPr>
        <w:keepNext w:val="0"/>
        <w:keepLines w:val="0"/>
        <w:pageBreakBefore w:val="0"/>
        <w:widowControl/>
        <w:wordWrap/>
        <w:overflowPunct/>
        <w:bidi w:val="0"/>
        <w:spacing w:line="240" w:lineRule="auto"/>
        <w:rPr>
          <w:sz w:val="32"/>
          <w:szCs w:val="32"/>
        </w:rPr>
      </w:pPr>
    </w:p>
    <w:p w14:paraId="16F12D55">
      <w:pPr>
        <w:keepNext w:val="0"/>
        <w:keepLines w:val="0"/>
        <w:pageBreakBefore w:val="0"/>
        <w:widowControl/>
        <w:wordWrap/>
        <w:overflowPunct/>
        <w:bidi w:val="0"/>
        <w:spacing w:line="240" w:lineRule="auto"/>
        <w:rPr>
          <w:sz w:val="32"/>
          <w:szCs w:val="32"/>
        </w:rPr>
      </w:pPr>
    </w:p>
    <w:p w14:paraId="3D64C8AE">
      <w:pPr>
        <w:keepNext w:val="0"/>
        <w:keepLines w:val="0"/>
        <w:pageBreakBefore w:val="0"/>
        <w:widowControl/>
        <w:wordWrap/>
        <w:overflowPunct/>
        <w:bidi w:val="0"/>
        <w:spacing w:line="240" w:lineRule="auto"/>
        <w:rPr>
          <w:sz w:val="32"/>
          <w:szCs w:val="32"/>
        </w:rPr>
      </w:pPr>
    </w:p>
    <w:p w14:paraId="5E739AE5">
      <w:pPr>
        <w:keepNext w:val="0"/>
        <w:keepLines w:val="0"/>
        <w:pageBreakBefore w:val="0"/>
        <w:widowControl/>
        <w:wordWrap/>
        <w:overflowPunct/>
        <w:bidi w:val="0"/>
        <w:spacing w:line="240" w:lineRule="auto"/>
        <w:rPr>
          <w:sz w:val="32"/>
          <w:szCs w:val="32"/>
        </w:rPr>
      </w:pPr>
    </w:p>
    <w:p w14:paraId="140A1B4F">
      <w:pPr>
        <w:keepNext w:val="0"/>
        <w:keepLines w:val="0"/>
        <w:pageBreakBefore w:val="0"/>
        <w:widowControl/>
        <w:wordWrap/>
        <w:overflowPunct/>
        <w:bidi w:val="0"/>
        <w:spacing w:line="240" w:lineRule="auto"/>
        <w:rPr>
          <w:sz w:val="32"/>
          <w:szCs w:val="32"/>
        </w:rPr>
      </w:pPr>
    </w:p>
    <w:p w14:paraId="62C6708D">
      <w:pPr>
        <w:keepNext w:val="0"/>
        <w:keepLines w:val="0"/>
        <w:pageBreakBefore w:val="0"/>
        <w:widowControl/>
        <w:wordWrap/>
        <w:overflowPunct/>
        <w:bidi w:val="0"/>
        <w:spacing w:line="240" w:lineRule="auto"/>
        <w:rPr>
          <w:sz w:val="32"/>
          <w:szCs w:val="32"/>
        </w:rPr>
      </w:pPr>
    </w:p>
    <w:p w14:paraId="71D8BCAB">
      <w:pPr>
        <w:keepNext w:val="0"/>
        <w:keepLines w:val="0"/>
        <w:pageBreakBefore w:val="0"/>
        <w:widowControl/>
        <w:wordWrap/>
        <w:overflowPunct/>
        <w:bidi w:val="0"/>
        <w:spacing w:line="240" w:lineRule="auto"/>
        <w:rPr>
          <w:sz w:val="32"/>
          <w:szCs w:val="32"/>
        </w:rPr>
      </w:pPr>
    </w:p>
    <w:p w14:paraId="22CAD818">
      <w:pPr>
        <w:keepNext w:val="0"/>
        <w:keepLines w:val="0"/>
        <w:pageBreakBefore w:val="0"/>
        <w:widowControl/>
        <w:wordWrap/>
        <w:overflowPunct/>
        <w:bidi w:val="0"/>
        <w:spacing w:line="240" w:lineRule="auto"/>
        <w:rPr>
          <w:sz w:val="32"/>
          <w:szCs w:val="32"/>
        </w:rPr>
      </w:pPr>
    </w:p>
    <w:p w14:paraId="5AD0E0D1">
      <w:pPr>
        <w:keepNext w:val="0"/>
        <w:keepLines w:val="0"/>
        <w:pageBreakBefore w:val="0"/>
        <w:widowControl/>
        <w:wordWrap/>
        <w:overflowPunct/>
        <w:bidi w:val="0"/>
        <w:spacing w:line="240" w:lineRule="auto"/>
        <w:rPr>
          <w:sz w:val="32"/>
          <w:szCs w:val="32"/>
        </w:rPr>
      </w:pPr>
    </w:p>
    <w:p w14:paraId="1A4D9270">
      <w:pPr>
        <w:keepNext w:val="0"/>
        <w:keepLines w:val="0"/>
        <w:pageBreakBefore w:val="0"/>
        <w:widowControl/>
        <w:wordWrap/>
        <w:overflowPunct/>
        <w:bidi w:val="0"/>
        <w:spacing w:line="240" w:lineRule="auto"/>
        <w:rPr>
          <w:sz w:val="32"/>
          <w:szCs w:val="32"/>
        </w:rPr>
      </w:pPr>
    </w:p>
    <w:p w14:paraId="2CF7845E">
      <w:pPr>
        <w:keepNext w:val="0"/>
        <w:keepLines w:val="0"/>
        <w:pageBreakBefore w:val="0"/>
        <w:widowControl/>
        <w:wordWrap/>
        <w:overflowPunct/>
        <w:bidi w:val="0"/>
        <w:spacing w:line="240" w:lineRule="auto"/>
        <w:rPr>
          <w:sz w:val="32"/>
          <w:szCs w:val="32"/>
        </w:rPr>
      </w:pPr>
    </w:p>
    <w:p w14:paraId="2E9DCE09">
      <w:pPr>
        <w:keepNext w:val="0"/>
        <w:keepLines w:val="0"/>
        <w:pageBreakBefore w:val="0"/>
        <w:widowControl/>
        <w:wordWrap/>
        <w:overflowPunct/>
        <w:bidi w:val="0"/>
        <w:spacing w:line="240" w:lineRule="auto"/>
        <w:rPr>
          <w:sz w:val="32"/>
          <w:szCs w:val="32"/>
        </w:rPr>
      </w:pPr>
    </w:p>
    <w:p w14:paraId="76F5F879">
      <w:pPr>
        <w:keepNext w:val="0"/>
        <w:keepLines w:val="0"/>
        <w:pageBreakBefore w:val="0"/>
        <w:widowControl/>
        <w:wordWrap/>
        <w:overflowPunct/>
        <w:bidi w:val="0"/>
        <w:spacing w:before="240" w:line="240"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keepNext w:val="0"/>
        <w:keepLines w:val="0"/>
        <w:pageBreakBefore w:val="0"/>
        <w:widowControl/>
        <w:wordWrap/>
        <w:overflowPunct/>
        <w:bidi w:val="0"/>
        <w:spacing w:line="240" w:lineRule="auto"/>
        <w:ind w:left="4130"/>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lang w:val="en-US" w:eastAsia="zh-CN"/>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3</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4</w:t>
      </w:r>
      <w:r>
        <w:rPr>
          <w:rFonts w:ascii="仿宋" w:hAnsi="仿宋" w:eastAsia="仿宋" w:cs="仿宋"/>
          <w:color w:val="auto"/>
          <w:spacing w:val="-7"/>
          <w:sz w:val="32"/>
          <w:szCs w:val="32"/>
        </w:rPr>
        <w:t>日</w:t>
      </w:r>
    </w:p>
    <w:p w14:paraId="188F8C22">
      <w:pPr>
        <w:keepNext w:val="0"/>
        <w:keepLines w:val="0"/>
        <w:pageBreakBefore w:val="0"/>
        <w:widowControl/>
        <w:wordWrap/>
        <w:overflowPunct/>
        <w:bidi w:val="0"/>
        <w:spacing w:line="240" w:lineRule="auto"/>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55FFBC22">
      <w:pPr>
        <w:keepNext w:val="0"/>
        <w:keepLines w:val="0"/>
        <w:pageBreakBefore w:val="0"/>
        <w:widowControl/>
        <w:wordWrap/>
        <w:overflowPunct/>
        <w:bidi w:val="0"/>
        <w:spacing w:line="240" w:lineRule="auto"/>
        <w:jc w:val="center"/>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南陵县县级综合养老服务中心项目初步设计概算编制询价公告</w:t>
      </w:r>
    </w:p>
    <w:p w14:paraId="115D1237">
      <w:pPr>
        <w:spacing w:before="156" w:after="156" w:line="360" w:lineRule="auto"/>
        <w:ind w:firstLine="500" w:firstLineChars="200"/>
        <w:rPr>
          <w:rFonts w:hint="default" w:ascii="仿宋" w:hAnsi="仿宋" w:eastAsia="仿宋" w:cs="仿宋"/>
          <w:color w:val="auto"/>
          <w:spacing w:val="5"/>
          <w:sz w:val="24"/>
          <w:szCs w:val="24"/>
          <w:lang w:val="en-US" w:eastAsia="zh-CN"/>
        </w:rPr>
      </w:pPr>
      <w:r>
        <w:rPr>
          <w:rFonts w:hint="eastAsia" w:ascii="仿宋" w:hAnsi="仿宋" w:eastAsia="仿宋" w:cs="仿宋"/>
          <w:spacing w:val="5"/>
          <w:sz w:val="24"/>
          <w:szCs w:val="24"/>
        </w:rPr>
        <w:t>现通过询价方式采购《招标编号ZTGHY-XJ2026006</w:t>
      </w:r>
      <w:r>
        <w:rPr>
          <w:rFonts w:hint="eastAsia" w:ascii="仿宋" w:hAnsi="仿宋" w:eastAsia="仿宋" w:cs="仿宋"/>
          <w:color w:val="auto"/>
          <w:spacing w:val="5"/>
          <w:sz w:val="24"/>
          <w:szCs w:val="24"/>
        </w:rPr>
        <w:t>：</w:t>
      </w:r>
      <w:r>
        <w:rPr>
          <w:rFonts w:hint="eastAsia" w:ascii="仿宋" w:hAnsi="仿宋" w:eastAsia="仿宋" w:cs="仿宋"/>
          <w:spacing w:val="5"/>
          <w:sz w:val="24"/>
          <w:szCs w:val="24"/>
          <w:lang w:val="en-US" w:eastAsia="zh-CN"/>
        </w:rPr>
        <w:t>南陵县县级综合养老服务中心项目初步设计概算编制</w:t>
      </w:r>
      <w:r>
        <w:rPr>
          <w:rFonts w:hint="eastAsia" w:ascii="仿宋" w:hAnsi="仿宋" w:eastAsia="仿宋" w:cs="仿宋"/>
          <w:spacing w:val="5"/>
          <w:sz w:val="24"/>
          <w:szCs w:val="24"/>
        </w:rPr>
        <w:t>》(以下简称“本项目”)工</w:t>
      </w:r>
      <w:r>
        <w:rPr>
          <w:rFonts w:hint="eastAsia" w:ascii="仿宋" w:hAnsi="仿宋" w:eastAsia="仿宋" w:cs="仿宋"/>
          <w:color w:val="auto"/>
          <w:spacing w:val="5"/>
          <w:sz w:val="24"/>
          <w:szCs w:val="24"/>
        </w:rPr>
        <w:t>作内容包括</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项目总用地面积为20971.24m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，总建筑面积为27194.75m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，包含失能失智老人护理楼、自理老人护理楼、综合楼、保健楼及地下室。上述内容的初步设计概算编制及相关服务工作。</w:t>
      </w:r>
    </w:p>
    <w:p w14:paraId="322CEEB3">
      <w:pPr>
        <w:spacing w:before="156" w:after="156" w:line="360" w:lineRule="auto"/>
        <w:ind w:firstLine="500" w:firstLineChars="20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以上工作内容所产生的各项成本费用均由中标单位承担。</w:t>
      </w:r>
    </w:p>
    <w:p w14:paraId="00CE09B2">
      <w:pPr>
        <w:keepNext w:val="0"/>
        <w:keepLines w:val="0"/>
        <w:pageBreakBefore w:val="0"/>
        <w:widowControl/>
        <w:wordWrap/>
        <w:overflowPunct/>
        <w:bidi w:val="0"/>
        <w:spacing w:before="240" w:line="240" w:lineRule="auto"/>
        <w:outlineLvl w:val="0"/>
        <w:rPr>
          <w:rFonts w:hint="eastAsia" w:ascii="黑体" w:hAnsi="黑体" w:eastAsia="黑体" w:cs="黑体"/>
          <w:sz w:val="24"/>
          <w:szCs w:val="24"/>
          <w:highlight w:val="none"/>
        </w:rPr>
      </w:pPr>
      <w:r>
        <w:rPr>
          <w:rFonts w:ascii="黑体" w:hAnsi="黑体" w:eastAsia="黑体" w:cs="黑体"/>
          <w:spacing w:val="-2"/>
          <w:sz w:val="24"/>
          <w:szCs w:val="24"/>
          <w:highlight w:val="none"/>
        </w:rPr>
        <w:t>一、</w:t>
      </w:r>
      <w:r>
        <w:rPr>
          <w:rFonts w:hint="eastAsia" w:ascii="黑体" w:hAnsi="黑体" w:eastAsia="黑体" w:cs="黑体"/>
          <w:spacing w:val="-2"/>
          <w:sz w:val="24"/>
          <w:szCs w:val="24"/>
          <w:highlight w:val="none"/>
        </w:rPr>
        <w:t>采购项目内容</w:t>
      </w:r>
    </w:p>
    <w:p w14:paraId="387C4C0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1.1采购内容：</w:t>
      </w:r>
      <w:r>
        <w:rPr>
          <w:rFonts w:hint="eastAsia" w:ascii="仿宋" w:hAnsi="仿宋" w:eastAsia="仿宋" w:cs="仿宋"/>
          <w:color w:val="auto"/>
          <w:spacing w:val="5"/>
          <w:sz w:val="24"/>
          <w:szCs w:val="24"/>
          <w:lang w:val="en-US" w:eastAsia="zh-CN"/>
        </w:rPr>
        <w:t>项目总用地面积为20971.24m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，总建筑面积为27194.75m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，包含失能失智老人护理楼、自理老人护理楼、综合楼、保健楼及地下室。上述内容的初步设计概算编制及相关服务工作。</w:t>
      </w:r>
    </w:p>
    <w:p w14:paraId="35564B96">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1.2技术要求：</w:t>
      </w:r>
    </w:p>
    <w:p w14:paraId="71D22CB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（1）编制的概算应达到 “完整、准确、合理、清晰” 的标准，能够作为项目投资控制的刚性上限，并为后续的招标、合同签订及资金计划提供可靠依据。</w:t>
      </w:r>
    </w:p>
    <w:p w14:paraId="5DA6FF8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（2）必须严格遵守国家、行业及项目所在地最新的法律法规、计价规范和政策文件。</w:t>
      </w:r>
    </w:p>
    <w:p w14:paraId="4263A8C6">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（3）应基于专业判断，独立、客观地编制概算，不受任何不当影响。</w:t>
      </w:r>
    </w:p>
    <w:p w14:paraId="449DF8D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（4）所有计价依据、价格来源、参数选择、计算过程都必须有据可查，形成完整的工作底稿。</w:t>
      </w:r>
    </w:p>
    <w:p w14:paraId="44A2D7EB">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color w:val="FF0000"/>
          <w:spacing w:val="5"/>
          <w:sz w:val="24"/>
          <w:szCs w:val="24"/>
        </w:rPr>
      </w:pPr>
      <w:r>
        <w:rPr>
          <w:rFonts w:hint="eastAsia" w:ascii="仿宋" w:hAnsi="仿宋" w:eastAsia="仿宋" w:cs="仿宋"/>
          <w:spacing w:val="5"/>
          <w:sz w:val="24"/>
          <w:szCs w:val="24"/>
        </w:rPr>
        <w:t>1.2工期：</w:t>
      </w:r>
      <w:r>
        <w:rPr>
          <w:rFonts w:hint="eastAsia" w:ascii="仿宋" w:hAnsi="仿宋" w:eastAsia="仿宋" w:cs="仿宋"/>
          <w:spacing w:val="5"/>
          <w:sz w:val="24"/>
          <w:szCs w:val="24"/>
          <w:lang w:val="en-US" w:eastAsia="zh-CN"/>
        </w:rPr>
        <w:t>提供相关图纸后7天内提交成果，相关服务自合同签订至项目竣工验收。</w:t>
      </w:r>
    </w:p>
    <w:p w14:paraId="2208F7EA">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highlight w:val="none"/>
        </w:rPr>
      </w:pPr>
      <w:r>
        <w:rPr>
          <w:rFonts w:hint="eastAsia" w:ascii="黑体" w:hAnsi="黑体" w:eastAsia="黑体" w:cs="黑体"/>
          <w:spacing w:val="-2"/>
          <w:sz w:val="24"/>
          <w:szCs w:val="24"/>
          <w:highlight w:val="none"/>
        </w:rPr>
        <w:t>二、投标人资格</w:t>
      </w:r>
    </w:p>
    <w:p w14:paraId="45CE645D">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default" w:ascii="仿宋" w:hAnsi="仿宋" w:eastAsia="仿宋" w:cs="仿宋"/>
          <w:spacing w:val="5"/>
          <w:sz w:val="24"/>
          <w:szCs w:val="24"/>
          <w:lang w:val="en-US" w:eastAsia="zh-CN"/>
        </w:rPr>
      </w:pPr>
      <w:r>
        <w:rPr>
          <w:rFonts w:hint="eastAsia" w:ascii="仿宋" w:hAnsi="仿宋" w:eastAsia="仿宋" w:cs="仿宋"/>
          <w:spacing w:val="5"/>
          <w:sz w:val="24"/>
          <w:szCs w:val="24"/>
        </w:rPr>
        <w:t>2.1.报价人资质要求：</w:t>
      </w:r>
      <w:r>
        <w:rPr>
          <w:rFonts w:hint="eastAsia" w:ascii="仿宋" w:hAnsi="仿宋" w:eastAsia="仿宋" w:cs="仿宋"/>
          <w:spacing w:val="5"/>
          <w:sz w:val="24"/>
          <w:szCs w:val="24"/>
          <w:lang w:val="en-US" w:eastAsia="zh-CN"/>
        </w:rPr>
        <w:t>在中华人民共和国境内依法注册，具有独立法人资格。</w:t>
      </w:r>
    </w:p>
    <w:p w14:paraId="35972B75">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2.2.报价人类似业绩要求：</w:t>
      </w:r>
      <w:r>
        <w:rPr>
          <w:rFonts w:hint="eastAsia" w:ascii="仿宋" w:hAnsi="仿宋" w:eastAsia="仿宋" w:cs="仿宋"/>
          <w:spacing w:val="5"/>
          <w:sz w:val="24"/>
          <w:szCs w:val="24"/>
          <w:lang w:val="en-US" w:eastAsia="zh-CN"/>
        </w:rPr>
        <w:t>无。</w:t>
      </w:r>
    </w:p>
    <w:p w14:paraId="036AFBA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2.3</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t>信用要求：截至提交首次响应文件截止时间，供应商存在下列有效情形之一的，其资格审查不予通过</w:t>
      </w:r>
    </w:p>
    <w:p w14:paraId="3A44E87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097234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413132E9">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77ADF80">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5FDD020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3CA46A50">
      <w:pPr>
        <w:pStyle w:val="7"/>
        <w:keepNext w:val="0"/>
        <w:keepLines w:val="0"/>
        <w:pageBreakBefore w:val="0"/>
        <w:widowControl/>
        <w:numPr>
          <w:ilvl w:val="0"/>
          <w:numId w:val="1"/>
        </w:numPr>
        <w:wordWrap/>
        <w:overflowPunct/>
        <w:bidi w:val="0"/>
        <w:spacing w:line="240" w:lineRule="auto"/>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万元。</w:t>
      </w:r>
    </w:p>
    <w:p w14:paraId="3A18932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5BD23FF8">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color w:val="auto"/>
          <w:spacing w:val="5"/>
          <w:sz w:val="24"/>
          <w:szCs w:val="24"/>
        </w:rPr>
      </w:pPr>
      <w:r>
        <w:rPr>
          <w:rFonts w:hint="eastAsia" w:ascii="仿宋" w:hAnsi="仿宋" w:eastAsia="仿宋" w:cs="仿宋"/>
          <w:spacing w:val="5"/>
          <w:sz w:val="24"/>
          <w:szCs w:val="24"/>
        </w:rPr>
        <w:t>4.1询价响应文件递交截止时</w:t>
      </w:r>
      <w:r>
        <w:rPr>
          <w:rFonts w:hint="eastAsia" w:ascii="仿宋" w:hAnsi="仿宋" w:eastAsia="仿宋" w:cs="仿宋"/>
          <w:color w:val="auto"/>
          <w:spacing w:val="5"/>
          <w:sz w:val="24"/>
          <w:szCs w:val="24"/>
        </w:rPr>
        <w:t>间：202</w:t>
      </w:r>
      <w:r>
        <w:rPr>
          <w:rFonts w:hint="eastAsia" w:ascii="仿宋" w:hAnsi="仿宋" w:eastAsia="仿宋" w:cs="仿宋"/>
          <w:color w:val="auto"/>
          <w:spacing w:val="5"/>
          <w:sz w:val="24"/>
          <w:szCs w:val="24"/>
          <w:lang w:val="en-US" w:eastAsia="zh-CN"/>
        </w:rPr>
        <w:t>6</w:t>
      </w:r>
      <w:r>
        <w:rPr>
          <w:rFonts w:hint="eastAsia" w:ascii="仿宋" w:hAnsi="仿宋" w:eastAsia="仿宋" w:cs="仿宋"/>
          <w:color w:val="auto"/>
          <w:spacing w:val="5"/>
          <w:sz w:val="24"/>
          <w:szCs w:val="24"/>
        </w:rPr>
        <w:t>年</w:t>
      </w:r>
      <w:r>
        <w:rPr>
          <w:rFonts w:hint="eastAsia" w:ascii="仿宋" w:hAnsi="仿宋" w:eastAsia="仿宋" w:cs="仿宋"/>
          <w:color w:val="auto"/>
          <w:spacing w:val="5"/>
          <w:sz w:val="24"/>
          <w:szCs w:val="24"/>
          <w:lang w:val="en-US" w:eastAsia="zh-CN"/>
        </w:rPr>
        <w:t>3</w:t>
      </w:r>
      <w:r>
        <w:rPr>
          <w:rFonts w:hint="eastAsia" w:ascii="仿宋" w:hAnsi="仿宋" w:eastAsia="仿宋" w:cs="仿宋"/>
          <w:color w:val="auto"/>
          <w:spacing w:val="5"/>
          <w:sz w:val="24"/>
          <w:szCs w:val="24"/>
        </w:rPr>
        <w:t>月</w:t>
      </w:r>
      <w:r>
        <w:rPr>
          <w:rFonts w:hint="eastAsia" w:ascii="仿宋" w:hAnsi="仿宋" w:eastAsia="仿宋" w:cs="仿宋"/>
          <w:color w:val="auto"/>
          <w:spacing w:val="5"/>
          <w:sz w:val="24"/>
          <w:szCs w:val="24"/>
          <w:lang w:val="en-US" w:eastAsia="zh-CN"/>
        </w:rPr>
        <w:t>6</w:t>
      </w:r>
      <w:r>
        <w:rPr>
          <w:rFonts w:hint="eastAsia" w:ascii="仿宋" w:hAnsi="仿宋" w:eastAsia="仿宋" w:cs="仿宋"/>
          <w:color w:val="auto"/>
          <w:spacing w:val="5"/>
          <w:sz w:val="24"/>
          <w:szCs w:val="24"/>
        </w:rPr>
        <w:t>日，北京时间17：00。</w:t>
      </w:r>
    </w:p>
    <w:p w14:paraId="3C3557A1">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spacing w:val="5"/>
          <w:sz w:val="24"/>
          <w:szCs w:val="24"/>
          <w:lang w:eastAsia="zh-CN"/>
        </w:rPr>
        <w:t>：</w:t>
      </w:r>
      <w:bookmarkStart w:id="1" w:name="_GoBack"/>
      <w:bookmarkEnd w:id="1"/>
    </w:p>
    <w:p w14:paraId="62947054">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①</w:t>
      </w:r>
      <w:r>
        <w:rPr>
          <w:rFonts w:hint="eastAsia" w:ascii="仿宋" w:hAnsi="仿宋" w:eastAsia="仿宋" w:cs="仿宋"/>
          <w:spacing w:val="5"/>
          <w:sz w:val="24"/>
          <w:szCs w:val="24"/>
        </w:rPr>
        <w:t>供应商资格信用承诺函</w:t>
      </w:r>
      <w:r>
        <w:rPr>
          <w:rFonts w:hint="eastAsia" w:ascii="仿宋" w:hAnsi="仿宋" w:eastAsia="仿宋" w:cs="仿宋"/>
          <w:spacing w:val="5"/>
          <w:sz w:val="24"/>
          <w:szCs w:val="24"/>
          <w:lang w:eastAsia="zh-CN"/>
        </w:rPr>
        <w:t>；</w:t>
      </w:r>
    </w:p>
    <w:p w14:paraId="5B40A301">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②</w:t>
      </w:r>
      <w:r>
        <w:rPr>
          <w:rFonts w:hint="eastAsia" w:ascii="仿宋" w:hAnsi="仿宋" w:eastAsia="仿宋" w:cs="仿宋"/>
          <w:spacing w:val="5"/>
          <w:sz w:val="24"/>
          <w:szCs w:val="24"/>
        </w:rPr>
        <w:t>法定代表人身份及授权委托书</w:t>
      </w:r>
      <w:r>
        <w:rPr>
          <w:rFonts w:hint="eastAsia" w:ascii="仿宋" w:hAnsi="仿宋" w:eastAsia="仿宋" w:cs="仿宋"/>
          <w:spacing w:val="5"/>
          <w:sz w:val="24"/>
          <w:szCs w:val="24"/>
          <w:lang w:eastAsia="zh-CN"/>
        </w:rPr>
        <w:t>；</w:t>
      </w:r>
    </w:p>
    <w:p w14:paraId="3A6F09A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③</w:t>
      </w:r>
      <w:r>
        <w:rPr>
          <w:rFonts w:hint="eastAsia" w:ascii="仿宋" w:hAnsi="仿宋" w:eastAsia="仿宋" w:cs="仿宋"/>
          <w:spacing w:val="5"/>
          <w:sz w:val="24"/>
          <w:szCs w:val="24"/>
        </w:rPr>
        <w:t>询（报）价单</w:t>
      </w:r>
      <w:r>
        <w:rPr>
          <w:rFonts w:hint="eastAsia" w:ascii="仿宋" w:hAnsi="仿宋" w:eastAsia="仿宋" w:cs="仿宋"/>
          <w:spacing w:val="5"/>
          <w:sz w:val="24"/>
          <w:szCs w:val="24"/>
          <w:lang w:eastAsia="zh-CN"/>
        </w:rPr>
        <w:t>；</w:t>
      </w:r>
    </w:p>
    <w:p w14:paraId="6EE4AE89">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④</w:t>
      </w:r>
      <w:r>
        <w:rPr>
          <w:rFonts w:hint="eastAsia" w:ascii="仿宋" w:hAnsi="仿宋" w:eastAsia="仿宋" w:cs="仿宋"/>
          <w:spacing w:val="5"/>
          <w:sz w:val="24"/>
          <w:szCs w:val="24"/>
        </w:rPr>
        <w:t>营业执照</w:t>
      </w:r>
      <w:r>
        <w:rPr>
          <w:rFonts w:hint="eastAsia" w:ascii="仿宋" w:hAnsi="仿宋" w:eastAsia="仿宋" w:cs="仿宋"/>
          <w:spacing w:val="5"/>
          <w:sz w:val="24"/>
          <w:szCs w:val="24"/>
          <w:lang w:val="en-US" w:eastAsia="zh-CN"/>
        </w:rPr>
        <w:t>复印</w:t>
      </w:r>
      <w:r>
        <w:rPr>
          <w:rFonts w:hint="eastAsia" w:ascii="仿宋" w:hAnsi="仿宋" w:eastAsia="仿宋" w:cs="仿宋"/>
          <w:spacing w:val="5"/>
          <w:sz w:val="24"/>
          <w:szCs w:val="24"/>
        </w:rPr>
        <w:t>件</w:t>
      </w:r>
      <w:r>
        <w:rPr>
          <w:rFonts w:hint="eastAsia" w:ascii="仿宋" w:hAnsi="仿宋" w:eastAsia="仿宋" w:cs="仿宋"/>
          <w:spacing w:val="5"/>
          <w:sz w:val="24"/>
          <w:szCs w:val="24"/>
          <w:lang w:eastAsia="zh-CN"/>
        </w:rPr>
        <w:t>；</w:t>
      </w:r>
    </w:p>
    <w:p w14:paraId="10216D8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⑤其他能体现供应商能力的资料，如类似业绩（含高炮设计或精神堡垒或钢结构雕塑类等）。</w:t>
      </w:r>
    </w:p>
    <w:p w14:paraId="3BC5C09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资料</w:t>
      </w:r>
      <w:r>
        <w:rPr>
          <w:rFonts w:hint="eastAsia" w:ascii="仿宋" w:hAnsi="仿宋" w:eastAsia="仿宋" w:cs="仿宋"/>
          <w:spacing w:val="5"/>
          <w:sz w:val="24"/>
          <w:szCs w:val="24"/>
        </w:rPr>
        <w:t>各1份，并按要求签字或加盖印签章及公章，寄至芜湖市鸠江区国泰路8号中铁设计广场并发送资料</w:t>
      </w:r>
      <w:r>
        <w:rPr>
          <w:rFonts w:hint="eastAsia" w:ascii="仿宋" w:hAnsi="仿宋" w:eastAsia="仿宋" w:cs="仿宋"/>
          <w:spacing w:val="5"/>
          <w:sz w:val="24"/>
          <w:szCs w:val="24"/>
          <w:lang w:val="en-US" w:eastAsia="zh-CN"/>
        </w:rPr>
        <w:t>PDF</w:t>
      </w:r>
      <w:r>
        <w:rPr>
          <w:rFonts w:hint="eastAsia" w:ascii="仿宋" w:hAnsi="仿宋" w:eastAsia="仿宋" w:cs="仿宋"/>
          <w:spacing w:val="5"/>
          <w:sz w:val="24"/>
          <w:szCs w:val="24"/>
        </w:rPr>
        <w:t>扫描件至邮箱</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fldChar w:fldCharType="begin"/>
      </w:r>
      <w:r>
        <w:rPr>
          <w:rFonts w:hint="eastAsia" w:ascii="仿宋" w:hAnsi="仿宋" w:eastAsia="仿宋" w:cs="仿宋"/>
          <w:spacing w:val="5"/>
          <w:sz w:val="24"/>
          <w:szCs w:val="24"/>
        </w:rPr>
        <w:instrText xml:space="preserve"> HYPERLINK "mailto:389788120@qq.com" </w:instrText>
      </w:r>
      <w:r>
        <w:rPr>
          <w:rFonts w:hint="eastAsia" w:ascii="仿宋" w:hAnsi="仿宋" w:eastAsia="仿宋" w:cs="仿宋"/>
          <w:spacing w:val="5"/>
          <w:sz w:val="24"/>
          <w:szCs w:val="24"/>
        </w:rP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r>
        <w:rPr>
          <w:rFonts w:hint="eastAsia" w:ascii="仿宋" w:hAnsi="仿宋" w:eastAsia="仿宋" w:cs="仿宋"/>
          <w:spacing w:val="5"/>
          <w:sz w:val="24"/>
          <w:szCs w:val="24"/>
          <w:lang w:eastAsia="zh-CN"/>
        </w:rPr>
        <w:t>。</w:t>
      </w:r>
    </w:p>
    <w:p w14:paraId="2C7A3214">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2BB1896">
      <w:pPr>
        <w:keepNext w:val="0"/>
        <w:keepLines w:val="0"/>
        <w:pageBreakBefore w:val="0"/>
        <w:widowControl/>
        <w:wordWrap/>
        <w:overflowPunct/>
        <w:bidi w:val="0"/>
        <w:spacing w:before="240" w:line="240" w:lineRule="auto"/>
        <w:ind w:right="154"/>
        <w:jc w:val="both"/>
        <w:rPr>
          <w:rFonts w:hint="eastAsia" w:ascii="仿宋" w:hAnsi="仿宋" w:eastAsia="仿宋" w:cs="仿宋"/>
          <w:spacing w:val="-5"/>
          <w:sz w:val="24"/>
          <w:szCs w:val="24"/>
        </w:rPr>
      </w:pPr>
    </w:p>
    <w:p w14:paraId="5EAAF58D">
      <w:pPr>
        <w:keepNext w:val="0"/>
        <w:keepLines w:val="0"/>
        <w:pageBreakBefore w:val="0"/>
        <w:widowControl/>
        <w:wordWrap/>
        <w:overflowPunct/>
        <w:bidi w:val="0"/>
        <w:spacing w:before="240" w:line="240" w:lineRule="auto"/>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keepNext w:val="0"/>
        <w:keepLines w:val="0"/>
        <w:pageBreakBefore w:val="0"/>
        <w:widowControl/>
        <w:wordWrap/>
        <w:overflowPunct/>
        <w:bidi w:val="0"/>
        <w:spacing w:before="240" w:line="240" w:lineRule="auto"/>
        <w:ind w:right="154" w:firstLine="65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w:t>
      </w:r>
      <w:r>
        <w:rPr>
          <w:rFonts w:hint="eastAsia" w:ascii="仿宋_GB2312" w:hAnsi="华文仿宋" w:eastAsia="仿宋_GB2312" w:cs="Times New Roman"/>
          <w:color w:val="auto"/>
          <w:sz w:val="24"/>
          <w:szCs w:val="24"/>
          <w:lang w:val="en-US" w:eastAsia="zh-CN"/>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日</w:t>
      </w:r>
    </w:p>
    <w:p w14:paraId="5B0954DA">
      <w:pPr>
        <w:keepNext w:val="0"/>
        <w:keepLines w:val="0"/>
        <w:pageBreakBefore w:val="0"/>
        <w:widowControl/>
        <w:kinsoku/>
        <w:wordWrap/>
        <w:overflowPunct/>
        <w:autoSpaceDE/>
        <w:autoSpaceDN/>
        <w:bidi w:val="0"/>
        <w:adjustRightInd/>
        <w:snapToGrid/>
        <w:spacing w:line="240" w:lineRule="auto"/>
        <w:ind w:firstLine="650"/>
        <w:jc w:val="center"/>
        <w:textAlignment w:val="auto"/>
        <w:rPr>
          <w:sz w:val="24"/>
          <w:szCs w:val="24"/>
        </w:rPr>
      </w:pPr>
      <w:r>
        <w:rPr>
          <w:sz w:val="24"/>
          <w:szCs w:val="24"/>
        </w:rPr>
        <w:br w:type="page"/>
      </w:r>
    </w:p>
    <w:p w14:paraId="10091BEB">
      <w:pPr>
        <w:keepNext w:val="0"/>
        <w:keepLines w:val="0"/>
        <w:pageBreakBefore w:val="0"/>
        <w:widowControl/>
        <w:wordWrap/>
        <w:overflowPunct/>
        <w:bidi w:val="0"/>
        <w:spacing w:line="240" w:lineRule="auto"/>
        <w:jc w:val="center"/>
      </w:pPr>
      <w:r>
        <w:rPr>
          <w:rFonts w:ascii="仿宋" w:hAnsi="仿宋" w:eastAsia="仿宋" w:cs="仿宋"/>
          <w:b/>
          <w:bCs/>
          <w:sz w:val="28"/>
          <w:szCs w:val="28"/>
          <w:lang w:bidi="ar"/>
        </w:rPr>
        <w:t>供应商资格信用承诺函</w:t>
      </w:r>
    </w:p>
    <w:p w14:paraId="4880CF5A">
      <w:pPr>
        <w:keepNext w:val="0"/>
        <w:keepLines w:val="0"/>
        <w:pageBreakBefore w:val="0"/>
        <w:widowControl/>
        <w:wordWrap/>
        <w:overflowPunct/>
        <w:bidi w:val="0"/>
        <w:spacing w:line="240" w:lineRule="auto"/>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keepNext w:val="0"/>
        <w:keepLines w:val="0"/>
        <w:pageBreakBefore w:val="0"/>
        <w:widowControl/>
        <w:wordWrap/>
        <w:overflowPunct/>
        <w:bidi w:val="0"/>
        <w:spacing w:line="240" w:lineRule="auto"/>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keepNext w:val="0"/>
        <w:keepLines w:val="0"/>
        <w:pageBreakBefore w:val="0"/>
        <w:widowControl/>
        <w:wordWrap/>
        <w:overflowPunct/>
        <w:bidi w:val="0"/>
        <w:spacing w:line="240" w:lineRule="auto"/>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4FBE97C4">
      <w:pPr>
        <w:pStyle w:val="7"/>
        <w:keepNext w:val="0"/>
        <w:keepLines w:val="0"/>
        <w:pageBreakBefore w:val="0"/>
        <w:widowControl/>
        <w:kinsoku w:val="0"/>
        <w:wordWrap/>
        <w:overflowPunct/>
        <w:topLinePunct w:val="0"/>
        <w:bidi w:val="0"/>
        <w:adjustRightInd w:val="0"/>
        <w:snapToGrid w:val="0"/>
        <w:spacing w:line="360" w:lineRule="auto"/>
        <w:ind w:firstLine="240"/>
        <w:textAlignment w:val="baseline"/>
        <w:rPr>
          <w:rFonts w:hint="eastAsia" w:ascii="仿宋" w:hAnsi="仿宋" w:eastAsia="仿宋" w:cs="仿宋"/>
          <w:sz w:val="24"/>
          <w:szCs w:val="24"/>
          <w:lang w:bidi="ar"/>
        </w:rPr>
      </w:pPr>
    </w:p>
    <w:p w14:paraId="5DD11683">
      <w:pPr>
        <w:keepNext w:val="0"/>
        <w:keepLines w:val="0"/>
        <w:pageBreakBefore w:val="0"/>
        <w:widowControl/>
        <w:kinsoku w:val="0"/>
        <w:wordWrap/>
        <w:overflowPunct/>
        <w:topLinePunct w:val="0"/>
        <w:bidi w:val="0"/>
        <w:adjustRightInd w:val="0"/>
        <w:snapToGrid w:val="0"/>
        <w:spacing w:line="360" w:lineRule="auto"/>
        <w:jc w:val="center"/>
        <w:textAlignment w:val="baseline"/>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39599767">
      <w:pPr>
        <w:keepNext w:val="0"/>
        <w:keepLines w:val="0"/>
        <w:pageBreakBefore w:val="0"/>
        <w:widowControl/>
        <w:kinsoku w:val="0"/>
        <w:wordWrap/>
        <w:overflowPunct/>
        <w:topLinePunct w:val="0"/>
        <w:bidi w:val="0"/>
        <w:adjustRightInd w:val="0"/>
        <w:snapToGrid w:val="0"/>
        <w:spacing w:line="360" w:lineRule="auto"/>
        <w:jc w:val="both"/>
        <w:textAlignment w:val="baseline"/>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3D120EE7">
      <w:pPr>
        <w:keepNext w:val="0"/>
        <w:keepLines w:val="0"/>
        <w:pageBreakBefore w:val="0"/>
        <w:widowControl/>
        <w:kinsoku w:val="0"/>
        <w:wordWrap/>
        <w:overflowPunct/>
        <w:topLinePunct w:val="0"/>
        <w:bidi w:val="0"/>
        <w:adjustRightInd w:val="0"/>
        <w:snapToGrid w:val="0"/>
        <w:spacing w:line="360" w:lineRule="auto"/>
        <w:jc w:val="right"/>
        <w:textAlignment w:val="baseline"/>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keepNext w:val="0"/>
        <w:keepLines w:val="0"/>
        <w:pageBreakBefore w:val="0"/>
        <w:widowControl/>
        <w:wordWrap/>
        <w:overflowPunct/>
        <w:bidi w:val="0"/>
        <w:spacing w:line="240" w:lineRule="auto"/>
        <w:ind w:firstLine="210"/>
      </w:pPr>
    </w:p>
    <w:p w14:paraId="40B1DBD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24C371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0EAB26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6CB81C7">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83E5DA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1B9C7A09">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5D0269F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keepNext w:val="0"/>
        <w:keepLines w:val="0"/>
        <w:pageBreakBefore w:val="0"/>
        <w:widowControl/>
        <w:wordWrap/>
        <w:overflowPunct/>
        <w:bidi w:val="0"/>
        <w:spacing w:line="240" w:lineRule="auto"/>
        <w:ind w:firstLine="210"/>
      </w:pPr>
    </w:p>
    <w:p w14:paraId="2566FF71">
      <w:pPr>
        <w:pStyle w:val="14"/>
        <w:keepNext w:val="0"/>
        <w:keepLines w:val="0"/>
        <w:pageBreakBefore w:val="0"/>
        <w:widowControl/>
        <w:wordWrap/>
        <w:overflowPunct/>
        <w:bidi w:val="0"/>
        <w:spacing w:line="240" w:lineRule="auto"/>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keepNext w:val="0"/>
        <w:keepLines w:val="0"/>
        <w:pageBreakBefore w:val="0"/>
        <w:widowControl/>
        <w:wordWrap/>
        <w:overflowPunct/>
        <w:bidi w:val="0"/>
        <w:spacing w:line="240" w:lineRule="auto"/>
        <w:rPr>
          <w:rFonts w:hint="eastAsia"/>
        </w:rPr>
      </w:pPr>
      <w:r>
        <w:rPr>
          <w:rFonts w:hint="eastAsia"/>
        </w:rPr>
        <w:t>授权有效期自年月日起至开标日期后9</w:t>
      </w:r>
      <w:r>
        <w:t>0</w:t>
      </w:r>
      <w:r>
        <w:rPr>
          <w:rFonts w:hint="eastAsia"/>
        </w:rPr>
        <w:t>个日历天止。</w:t>
      </w:r>
    </w:p>
    <w:p w14:paraId="0500B2FC">
      <w:pPr>
        <w:pStyle w:val="14"/>
        <w:keepNext w:val="0"/>
        <w:keepLines w:val="0"/>
        <w:pageBreakBefore w:val="0"/>
        <w:widowControl/>
        <w:wordWrap/>
        <w:overflowPunct/>
        <w:bidi w:val="0"/>
        <w:spacing w:line="240" w:lineRule="auto"/>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keepNext w:val="0"/>
        <w:keepLines w:val="0"/>
        <w:pageBreakBefore w:val="0"/>
        <w:widowControl/>
        <w:tabs>
          <w:tab w:val="left" w:pos="3402"/>
        </w:tabs>
        <w:wordWrap/>
        <w:overflowPunct/>
        <w:topLinePunct/>
        <w:bidi w:val="0"/>
        <w:spacing w:line="240" w:lineRule="auto"/>
        <w:ind w:firstLine="3080" w:firstLineChars="1100"/>
        <w:rPr>
          <w:sz w:val="28"/>
          <w:szCs w:val="28"/>
        </w:rPr>
      </w:pPr>
    </w:p>
    <w:p w14:paraId="4D6FDE01">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firstLine="1680" w:firstLineChars="600"/>
        <w:textAlignment w:val="baseline"/>
        <w:rPr>
          <w:sz w:val="28"/>
          <w:szCs w:val="28"/>
        </w:rPr>
      </w:pPr>
      <w:r>
        <w:rPr>
          <w:rFonts w:hint="eastAsia"/>
          <w:sz w:val="28"/>
          <w:szCs w:val="28"/>
        </w:rPr>
        <w:t>单位全称</w:t>
      </w:r>
      <w:r>
        <w:rPr>
          <w:sz w:val="28"/>
          <w:szCs w:val="28"/>
        </w:rPr>
        <w:t>：</w:t>
      </w:r>
      <w:r>
        <w:rPr>
          <w:rFonts w:hint="eastAsia"/>
          <w:sz w:val="28"/>
          <w:szCs w:val="28"/>
          <w:u w:val="single"/>
          <w:lang w:val="en-US" w:eastAsia="zh-CN"/>
        </w:rPr>
        <w:t xml:space="preserve">          </w:t>
      </w:r>
      <w:r>
        <w:rPr>
          <w:rFonts w:hint="eastAsia"/>
          <w:sz w:val="28"/>
          <w:szCs w:val="28"/>
          <w:u w:val="none"/>
        </w:rPr>
        <w:t>（</w:t>
      </w:r>
      <w:r>
        <w:rPr>
          <w:rFonts w:hint="eastAsia"/>
          <w:sz w:val="28"/>
          <w:szCs w:val="28"/>
        </w:rPr>
        <w:t>单位公</w:t>
      </w:r>
      <w:r>
        <w:rPr>
          <w:sz w:val="28"/>
          <w:szCs w:val="28"/>
        </w:rPr>
        <w:t>章）</w:t>
      </w:r>
    </w:p>
    <w:p w14:paraId="57A4A7B3">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left="1680" w:leftChars="800" w:firstLine="570"/>
        <w:textAlignment w:val="baseline"/>
        <w:rPr>
          <w:sz w:val="28"/>
          <w:szCs w:val="28"/>
        </w:rPr>
      </w:pPr>
      <w:r>
        <w:rPr>
          <w:sz w:val="28"/>
          <w:szCs w:val="28"/>
        </w:rPr>
        <w:t>法定代表人：（签字</w:t>
      </w:r>
      <w:r>
        <w:rPr>
          <w:rFonts w:hint="eastAsia"/>
          <w:sz w:val="28"/>
          <w:szCs w:val="28"/>
        </w:rPr>
        <w:t>或盖章</w:t>
      </w:r>
      <w:r>
        <w:rPr>
          <w:sz w:val="28"/>
          <w:szCs w:val="28"/>
        </w:rPr>
        <w:t>）</w:t>
      </w:r>
    </w:p>
    <w:p w14:paraId="62C267F9">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left="1680" w:leftChars="800" w:firstLine="570"/>
        <w:textAlignment w:val="baseline"/>
        <w:rPr>
          <w:sz w:val="28"/>
          <w:szCs w:val="28"/>
        </w:rPr>
      </w:pPr>
      <w:r>
        <w:rPr>
          <w:rFonts w:hint="eastAsia"/>
          <w:spacing w:val="20"/>
          <w:sz w:val="28"/>
          <w:szCs w:val="28"/>
        </w:rPr>
        <w:t>被授权人</w:t>
      </w:r>
      <w:r>
        <w:rPr>
          <w:sz w:val="28"/>
          <w:szCs w:val="28"/>
        </w:rPr>
        <w:t>：（签字）</w:t>
      </w:r>
    </w:p>
    <w:p w14:paraId="571BB584">
      <w:pPr>
        <w:keepNext w:val="0"/>
        <w:keepLines w:val="0"/>
        <w:pageBreakBefore w:val="0"/>
        <w:widowControl/>
        <w:kinsoku w:val="0"/>
        <w:wordWrap/>
        <w:overflowPunct/>
        <w:autoSpaceDE w:val="0"/>
        <w:autoSpaceDN w:val="0"/>
        <w:bidi w:val="0"/>
        <w:adjustRightInd w:val="0"/>
        <w:snapToGrid w:val="0"/>
        <w:spacing w:line="360" w:lineRule="auto"/>
        <w:ind w:firstLine="570"/>
        <w:jc w:val="center"/>
        <w:textAlignment w:val="baseline"/>
        <w:rPr>
          <w:rFonts w:ascii="宋体"/>
          <w:b/>
          <w:sz w:val="28"/>
          <w:szCs w:val="18"/>
        </w:rPr>
      </w:pPr>
      <w:r>
        <w:rPr>
          <w:rFonts w:ascii="宋体"/>
          <w:bCs/>
          <w:sz w:val="28"/>
          <w:szCs w:val="28"/>
        </w:rPr>
        <w:t xml:space="preserve">          年</w:t>
      </w:r>
      <w:r>
        <w:rPr>
          <w:rFonts w:hint="eastAsia" w:ascii="宋体"/>
          <w:bCs/>
          <w:sz w:val="28"/>
          <w:szCs w:val="28"/>
        </w:rPr>
        <w:t xml:space="preserve"> </w:t>
      </w:r>
      <w:r>
        <w:rPr>
          <w:rFonts w:hint="eastAsia" w:ascii="宋体"/>
          <w:bCs/>
          <w:sz w:val="28"/>
          <w:szCs w:val="28"/>
          <w:lang w:val="en-US" w:eastAsia="zh-CN"/>
        </w:rPr>
        <w:t xml:space="preserve"> </w:t>
      </w:r>
      <w:r>
        <w:rPr>
          <w:rFonts w:ascii="宋体"/>
          <w:bCs/>
          <w:sz w:val="28"/>
          <w:szCs w:val="28"/>
        </w:rPr>
        <w:t xml:space="preserve">月 </w:t>
      </w:r>
      <w:r>
        <w:rPr>
          <w:rFonts w:hint="eastAsia" w:ascii="宋体"/>
          <w:bCs/>
          <w:sz w:val="28"/>
          <w:szCs w:val="28"/>
          <w:lang w:val="en-US" w:eastAsia="zh-CN"/>
        </w:rPr>
        <w:t xml:space="preserve"> </w:t>
      </w:r>
      <w:r>
        <w:rPr>
          <w:rFonts w:ascii="宋体"/>
          <w:bCs/>
          <w:sz w:val="28"/>
          <w:szCs w:val="28"/>
        </w:rPr>
        <w:t>日</w:t>
      </w:r>
    </w:p>
    <w:p w14:paraId="32807C1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5D0F5EA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keepNext w:val="0"/>
        <w:keepLines w:val="0"/>
        <w:pageBreakBefore w:val="0"/>
        <w:widowControl/>
        <w:wordWrap/>
        <w:overflowPunct/>
        <w:bidi w:val="0"/>
        <w:spacing w:line="24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55" w:type="dxa"/>
            <w:vAlign w:val="center"/>
          </w:tcPr>
          <w:p w14:paraId="3E2D3D46">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项目名称</w:t>
            </w:r>
          </w:p>
        </w:tc>
        <w:tc>
          <w:tcPr>
            <w:tcW w:w="7686" w:type="dxa"/>
            <w:vAlign w:val="center"/>
          </w:tcPr>
          <w:p w14:paraId="68948669">
            <w:pPr>
              <w:keepNext w:val="0"/>
              <w:keepLines w:val="0"/>
              <w:pageBreakBefore w:val="0"/>
              <w:widowControl/>
              <w:kinsoku w:val="0"/>
              <w:wordWrap/>
              <w:overflowPunct/>
              <w:topLinePunct w:val="0"/>
              <w:autoSpaceDE w:val="0"/>
              <w:autoSpaceDN w:val="0"/>
              <w:bidi w:val="0"/>
              <w:adjustRightInd w:val="0"/>
              <w:snapToGrid w:val="0"/>
              <w:spacing w:line="240" w:lineRule="auto"/>
              <w:ind w:firstLine="500" w:firstLineChars="200"/>
              <w:textAlignment w:val="baseline"/>
              <w:outlineLvl w:val="0"/>
              <w:rPr>
                <w:rFonts w:hint="default" w:ascii="宋体" w:eastAsia="微软雅黑"/>
                <w:bCs/>
                <w:sz w:val="24"/>
                <w:szCs w:val="24"/>
                <w:highlight w:val="none"/>
                <w:lang w:val="en-US" w:eastAsia="zh-CN"/>
              </w:rPr>
            </w:pPr>
            <w:r>
              <w:rPr>
                <w:rFonts w:hint="eastAsia" w:ascii="仿宋" w:hAnsi="仿宋" w:eastAsia="仿宋" w:cs="仿宋"/>
                <w:spacing w:val="5"/>
                <w:sz w:val="24"/>
                <w:szCs w:val="24"/>
                <w:lang w:val="en-US" w:eastAsia="zh-CN"/>
              </w:rPr>
              <w:t>南陵县县级综合养老服务中心项目初步设计概算编制</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keepNext w:val="0"/>
              <w:keepLines w:val="0"/>
              <w:pageBreakBefore w:val="0"/>
              <w:widowControl/>
              <w:wordWrap/>
              <w:overflowPunct/>
              <w:bidi w:val="0"/>
              <w:spacing w:line="240" w:lineRule="auto"/>
              <w:jc w:val="center"/>
              <w:rPr>
                <w:rFonts w:hint="default" w:ascii="宋体" w:eastAsiaTheme="minorEastAsia"/>
                <w:bCs/>
                <w:sz w:val="24"/>
                <w:szCs w:val="24"/>
                <w:highlight w:val="none"/>
                <w:lang w:val="en-US" w:eastAsia="zh-CN"/>
              </w:rPr>
            </w:pPr>
            <w:r>
              <w:rPr>
                <w:rFonts w:hint="eastAsia" w:ascii="宋体"/>
                <w:bCs/>
                <w:sz w:val="24"/>
                <w:szCs w:val="24"/>
                <w:highlight w:val="none"/>
                <w:lang w:val="en-US" w:eastAsia="zh-CN"/>
              </w:rPr>
              <w:t>服务内容</w:t>
            </w:r>
          </w:p>
        </w:tc>
        <w:tc>
          <w:tcPr>
            <w:tcW w:w="7686" w:type="dxa"/>
            <w:vAlign w:val="center"/>
          </w:tcPr>
          <w:p w14:paraId="5799FD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eastAsia="仿宋"/>
                <w:bCs/>
                <w:color w:val="auto"/>
                <w:sz w:val="24"/>
                <w:szCs w:val="24"/>
                <w:highlight w:val="none"/>
              </w:rPr>
            </w:pPr>
            <w:r>
              <w:rPr>
                <w:rFonts w:hint="eastAsia" w:ascii="仿宋" w:hAnsi="仿宋" w:eastAsia="仿宋" w:cs="仿宋"/>
                <w:color w:val="auto"/>
                <w:spacing w:val="5"/>
                <w:sz w:val="24"/>
                <w:szCs w:val="24"/>
                <w:lang w:val="en-US" w:eastAsia="zh-CN"/>
              </w:rPr>
              <w:t>项目总用地面积为20971.24m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，总建筑面积为27194.75m</w:t>
            </w:r>
            <w:r>
              <w:rPr>
                <w:rFonts w:hint="eastAsia" w:ascii="仿宋" w:hAnsi="仿宋" w:eastAsia="仿宋" w:cs="仿宋"/>
                <w:color w:val="auto"/>
                <w:spacing w:val="5"/>
                <w:sz w:val="24"/>
                <w:szCs w:val="24"/>
                <w:vertAlign w:val="superscript"/>
                <w:lang w:val="en-US" w:eastAsia="zh-CN"/>
              </w:rPr>
              <w:t>2</w:t>
            </w:r>
            <w:r>
              <w:rPr>
                <w:rFonts w:hint="eastAsia" w:ascii="仿宋" w:hAnsi="仿宋" w:eastAsia="仿宋" w:cs="仿宋"/>
                <w:color w:val="auto"/>
                <w:spacing w:val="5"/>
                <w:sz w:val="24"/>
                <w:szCs w:val="24"/>
                <w:lang w:val="en-US" w:eastAsia="zh-CN"/>
              </w:rPr>
              <w:t>，包含失能失智老人护理楼、自理老人护理楼、综合楼、保健楼及地下室。上述内容的初步设计概算编制及相关服务工作。</w:t>
            </w:r>
          </w:p>
        </w:tc>
      </w:tr>
      <w:tr w14:paraId="00C7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E473E95">
            <w:pPr>
              <w:keepNext w:val="0"/>
              <w:keepLines w:val="0"/>
              <w:pageBreakBefore w:val="0"/>
              <w:widowControl/>
              <w:wordWrap/>
              <w:overflowPunct/>
              <w:bidi w:val="0"/>
              <w:spacing w:line="240" w:lineRule="auto"/>
              <w:jc w:val="center"/>
              <w:rPr>
                <w:rFonts w:hint="default" w:ascii="宋体"/>
                <w:bCs/>
                <w:sz w:val="24"/>
                <w:szCs w:val="24"/>
                <w:highlight w:val="none"/>
                <w:lang w:val="en-US" w:eastAsia="zh-CN"/>
              </w:rPr>
            </w:pPr>
            <w:r>
              <w:rPr>
                <w:rFonts w:hint="eastAsia" w:ascii="宋体"/>
                <w:bCs/>
                <w:sz w:val="24"/>
                <w:szCs w:val="24"/>
                <w:highlight w:val="none"/>
                <w:lang w:val="en-US" w:eastAsia="zh-CN"/>
              </w:rPr>
              <w:t>技术要求</w:t>
            </w:r>
          </w:p>
        </w:tc>
        <w:tc>
          <w:tcPr>
            <w:tcW w:w="7686" w:type="dxa"/>
            <w:vAlign w:val="center"/>
          </w:tcPr>
          <w:p w14:paraId="142B3E4E">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t>（1）编制的概算应达到 “完整、准确、合理、清晰” 的标准，能够作为项目投资控制的刚性上限，并为后续的招标、合同签订及资金计划提供可靠依据。</w:t>
            </w:r>
          </w:p>
          <w:p w14:paraId="6E7708F3">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t>（2）必须严格遵守国家、行业及项目所在地最新的法律法规、计价规范和政策文件。</w:t>
            </w:r>
          </w:p>
          <w:p w14:paraId="3221C286">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t>（3）应基于专业判断，独立、客观地编制概算，不受任何不当影响。</w:t>
            </w:r>
          </w:p>
          <w:p w14:paraId="1C6BC667">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5"/>
                <w:sz w:val="21"/>
                <w:szCs w:val="21"/>
                <w:highlight w:val="none"/>
                <w:lang w:val="en-US" w:eastAsia="zh-CN"/>
                <w14:textFill>
                  <w14:solidFill>
                    <w14:schemeClr w14:val="tx1"/>
                  </w14:solidFill>
                </w14:textFill>
              </w:rPr>
              <w:t>（4）所有计价依据、价格来源、参数选择、计算过程都必须有据可查，形成完整的工作底稿。</w:t>
            </w:r>
          </w:p>
          <w:p w14:paraId="194BE8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7396FF6E">
            <w:pPr>
              <w:keepNext w:val="0"/>
              <w:keepLines w:val="0"/>
              <w:pageBreakBefore w:val="0"/>
              <w:widowControl/>
              <w:wordWrap/>
              <w:overflowPunct/>
              <w:bidi w:val="0"/>
              <w:spacing w:line="240" w:lineRule="auto"/>
              <w:jc w:val="center"/>
              <w:rPr>
                <w:rFonts w:hint="default" w:ascii="宋体" w:eastAsiaTheme="minorEastAsia"/>
                <w:bCs/>
                <w:sz w:val="24"/>
                <w:szCs w:val="24"/>
                <w:highlight w:val="none"/>
                <w:lang w:val="en-US" w:eastAsia="zh-CN"/>
              </w:rPr>
            </w:pPr>
            <w:r>
              <w:rPr>
                <w:rFonts w:hint="eastAsia" w:ascii="宋体"/>
                <w:bCs/>
                <w:sz w:val="24"/>
                <w:szCs w:val="24"/>
                <w:highlight w:val="none"/>
                <w:lang w:val="en-US" w:eastAsia="zh-CN"/>
              </w:rPr>
              <w:t>工期要求：</w:t>
            </w:r>
          </w:p>
        </w:tc>
        <w:tc>
          <w:tcPr>
            <w:tcW w:w="7686" w:type="dxa"/>
            <w:vAlign w:val="center"/>
          </w:tcPr>
          <w:p w14:paraId="5ADE66E4">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lang w:val="en-US" w:eastAsia="zh-CN"/>
              </w:rPr>
              <w:t>提供相关图纸后7天</w:t>
            </w:r>
            <w:r>
              <w:rPr>
                <w:rFonts w:hint="eastAsia" w:ascii="仿宋" w:hAnsi="仿宋" w:eastAsia="仿宋" w:cs="仿宋"/>
                <w:color w:val="auto"/>
                <w:spacing w:val="5"/>
                <w:sz w:val="24"/>
                <w:szCs w:val="24"/>
              </w:rPr>
              <w:t>内</w:t>
            </w:r>
            <w:r>
              <w:rPr>
                <w:rFonts w:hint="eastAsia" w:ascii="仿宋" w:hAnsi="仿宋" w:eastAsia="仿宋" w:cs="仿宋"/>
                <w:color w:val="auto"/>
                <w:spacing w:val="5"/>
                <w:sz w:val="24"/>
                <w:szCs w:val="24"/>
                <w:lang w:val="en-US" w:eastAsia="zh-CN"/>
              </w:rPr>
              <w:t>提交成果，相关服务自合同签订至项目竣工验收</w:t>
            </w:r>
            <w:r>
              <w:rPr>
                <w:rFonts w:hint="eastAsia" w:ascii="仿宋" w:hAnsi="仿宋" w:eastAsia="仿宋" w:cs="仿宋"/>
                <w:color w:val="auto"/>
                <w:spacing w:val="5"/>
                <w:sz w:val="24"/>
                <w:szCs w:val="24"/>
              </w:rPr>
              <w:t>。</w:t>
            </w:r>
          </w:p>
          <w:p w14:paraId="365F40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37E17FF4">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最高投标限价</w:t>
            </w:r>
          </w:p>
        </w:tc>
        <w:tc>
          <w:tcPr>
            <w:tcW w:w="7686" w:type="dxa"/>
            <w:vAlign w:val="center"/>
          </w:tcPr>
          <w:p w14:paraId="60F68A7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总包干价30000.0元</w:t>
            </w:r>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投标报价</w:t>
            </w:r>
          </w:p>
        </w:tc>
        <w:tc>
          <w:tcPr>
            <w:tcW w:w="7686" w:type="dxa"/>
            <w:vAlign w:val="center"/>
          </w:tcPr>
          <w:p w14:paraId="35FA8EF8">
            <w:pPr>
              <w:keepNext w:val="0"/>
              <w:keepLines w:val="0"/>
              <w:pageBreakBefore w:val="0"/>
              <w:widowControl/>
              <w:wordWrap/>
              <w:overflowPunct/>
              <w:bidi w:val="0"/>
              <w:spacing w:line="240" w:lineRule="auto"/>
              <w:ind w:firstLine="570"/>
              <w:rPr>
                <w:rFonts w:ascii="宋体"/>
                <w:bCs/>
                <w:sz w:val="24"/>
                <w:szCs w:val="24"/>
                <w:highlight w:val="none"/>
              </w:rPr>
            </w:pPr>
            <w:r>
              <w:rPr>
                <w:rFonts w:hint="eastAsia" w:ascii="宋体"/>
                <w:bCs/>
                <w:sz w:val="24"/>
                <w:szCs w:val="24"/>
                <w:highlight w:val="none"/>
              </w:rPr>
              <w:t xml:space="preserve">人民币小写：     </w:t>
            </w:r>
            <w:r>
              <w:rPr>
                <w:rFonts w:hint="eastAsia" w:ascii="宋体"/>
                <w:bCs/>
                <w:sz w:val="24"/>
                <w:szCs w:val="24"/>
                <w:highlight w:val="none"/>
                <w:lang w:val="en-US" w:eastAsia="zh-CN"/>
              </w:rPr>
              <w:t xml:space="preserve">     </w:t>
            </w:r>
            <w:r>
              <w:rPr>
                <w:rFonts w:hint="eastAsia" w:ascii="宋体"/>
                <w:bCs/>
                <w:sz w:val="24"/>
                <w:szCs w:val="24"/>
                <w:highlight w:val="none"/>
              </w:rPr>
              <w:t>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keepNext w:val="0"/>
              <w:keepLines w:val="0"/>
              <w:pageBreakBefore w:val="0"/>
              <w:widowControl/>
              <w:wordWrap/>
              <w:overflowPunct/>
              <w:bidi w:val="0"/>
              <w:spacing w:line="240" w:lineRule="auto"/>
              <w:ind w:firstLine="570"/>
              <w:jc w:val="center"/>
              <w:rPr>
                <w:rFonts w:ascii="宋体"/>
                <w:bCs/>
                <w:sz w:val="24"/>
                <w:szCs w:val="24"/>
                <w:highlight w:val="none"/>
              </w:rPr>
            </w:pPr>
          </w:p>
        </w:tc>
        <w:tc>
          <w:tcPr>
            <w:tcW w:w="7686" w:type="dxa"/>
            <w:vAlign w:val="center"/>
          </w:tcPr>
          <w:p w14:paraId="43D01348">
            <w:pPr>
              <w:keepNext w:val="0"/>
              <w:keepLines w:val="0"/>
              <w:pageBreakBefore w:val="0"/>
              <w:widowControl/>
              <w:wordWrap/>
              <w:overflowPunct/>
              <w:bidi w:val="0"/>
              <w:spacing w:line="240" w:lineRule="auto"/>
              <w:ind w:firstLine="570"/>
              <w:rPr>
                <w:rFonts w:hint="default" w:ascii="宋体" w:eastAsiaTheme="minorEastAsia"/>
                <w:bCs/>
                <w:sz w:val="24"/>
                <w:szCs w:val="24"/>
                <w:highlight w:val="none"/>
                <w:lang w:val="en-US" w:eastAsia="zh-CN"/>
              </w:rPr>
            </w:pPr>
            <w:r>
              <w:rPr>
                <w:rFonts w:hint="eastAsia" w:ascii="宋体"/>
                <w:bCs/>
                <w:sz w:val="24"/>
                <w:szCs w:val="24"/>
                <w:highlight w:val="none"/>
              </w:rPr>
              <w:t>人民币大写：</w:t>
            </w:r>
            <w:r>
              <w:rPr>
                <w:rFonts w:hint="eastAsia" w:ascii="宋体"/>
                <w:bCs/>
                <w:sz w:val="24"/>
                <w:szCs w:val="24"/>
                <w:highlight w:val="none"/>
                <w:lang w:val="en-US" w:eastAsia="zh-CN"/>
              </w:rPr>
              <w:t xml:space="preserve">          元</w:t>
            </w:r>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其他</w:t>
            </w:r>
          </w:p>
        </w:tc>
        <w:tc>
          <w:tcPr>
            <w:tcW w:w="7686" w:type="dxa"/>
            <w:vAlign w:val="center"/>
          </w:tcPr>
          <w:p w14:paraId="5EC83EDF">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1.若存在分项报价，报价人需另附分项报价清单，格式自拟；</w:t>
            </w:r>
          </w:p>
          <w:p w14:paraId="4320D80A">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2.固定单价合同，以实际完成工作量结算最终费用；</w:t>
            </w:r>
          </w:p>
          <w:p w14:paraId="5E0CC81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3.若中标单位所开发票税率低于6%，则需要承担差额部分，询价单位按扣除税额差额后实际金额支付；</w:t>
            </w:r>
          </w:p>
          <w:p w14:paraId="7270A58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4.有意向者，请于</w:t>
            </w:r>
            <w:r>
              <w:rPr>
                <w:rFonts w:ascii="仿宋_GB2312" w:hAnsi="华文仿宋" w:eastAsia="仿宋_GB2312" w:cs="Times New Roman"/>
                <w:sz w:val="24"/>
                <w:szCs w:val="24"/>
                <w:highlight w:val="none"/>
              </w:rPr>
              <w:t>202</w:t>
            </w:r>
            <w:r>
              <w:rPr>
                <w:rFonts w:hint="eastAsia" w:ascii="仿宋_GB2312" w:hAnsi="华文仿宋" w:eastAsia="仿宋_GB2312" w:cs="Times New Roman"/>
                <w:sz w:val="24"/>
                <w:szCs w:val="24"/>
                <w:highlight w:val="none"/>
                <w:lang w:val="en-US" w:eastAsia="zh-CN"/>
              </w:rPr>
              <w:t>6</w:t>
            </w:r>
            <w:r>
              <w:rPr>
                <w:rFonts w:ascii="仿宋_GB2312" w:hAnsi="华文仿宋" w:eastAsia="仿宋_GB2312" w:cs="Times New Roman"/>
                <w:color w:val="auto"/>
                <w:sz w:val="24"/>
                <w:szCs w:val="24"/>
                <w:highlight w:val="none"/>
              </w:rPr>
              <w:t>年</w:t>
            </w:r>
            <w:r>
              <w:rPr>
                <w:rFonts w:hint="eastAsia" w:ascii="仿宋_GB2312" w:hAnsi="华文仿宋" w:eastAsia="仿宋_GB2312" w:cs="Times New Roman"/>
                <w:color w:val="auto"/>
                <w:sz w:val="24"/>
                <w:szCs w:val="24"/>
                <w:highlight w:val="none"/>
                <w:lang w:val="en-US" w:eastAsia="zh-CN"/>
              </w:rPr>
              <w:t>3</w:t>
            </w:r>
            <w:r>
              <w:rPr>
                <w:rFonts w:ascii="仿宋_GB2312" w:hAnsi="华文仿宋" w:eastAsia="仿宋_GB2312" w:cs="Times New Roman"/>
                <w:color w:val="auto"/>
                <w:sz w:val="24"/>
                <w:szCs w:val="24"/>
                <w:highlight w:val="none"/>
              </w:rPr>
              <w:t>月</w:t>
            </w:r>
            <w:r>
              <w:rPr>
                <w:rFonts w:hint="eastAsia" w:ascii="仿宋_GB2312" w:hAnsi="华文仿宋" w:eastAsia="仿宋_GB2312" w:cs="Times New Roman"/>
                <w:color w:val="auto"/>
                <w:sz w:val="24"/>
                <w:szCs w:val="24"/>
                <w:highlight w:val="none"/>
                <w:lang w:val="en-US" w:eastAsia="zh-CN"/>
              </w:rPr>
              <w:t>6</w:t>
            </w:r>
            <w:r>
              <w:rPr>
                <w:rFonts w:ascii="仿宋_GB2312" w:hAnsi="华文仿宋" w:eastAsia="仿宋_GB2312" w:cs="Times New Roman"/>
                <w:color w:val="auto"/>
                <w:sz w:val="24"/>
                <w:szCs w:val="24"/>
                <w:highlight w:val="none"/>
              </w:rPr>
              <w:t>日</w:t>
            </w:r>
            <w:r>
              <w:rPr>
                <w:rFonts w:hint="eastAsia" w:ascii="仿宋_GB2312" w:hAnsi="华文仿宋" w:eastAsia="仿宋_GB2312" w:cs="Times New Roman"/>
                <w:color w:val="auto"/>
                <w:sz w:val="24"/>
                <w:szCs w:val="24"/>
                <w:highlight w:val="none"/>
              </w:rPr>
              <w:t>，</w:t>
            </w:r>
            <w:r>
              <w:rPr>
                <w:rFonts w:ascii="仿宋_GB2312" w:hAnsi="华文仿宋" w:eastAsia="仿宋_GB2312" w:cs="Times New Roman"/>
                <w:color w:val="auto"/>
                <w:sz w:val="24"/>
                <w:szCs w:val="24"/>
                <w:highlight w:val="none"/>
              </w:rPr>
              <w:t>北京时间</w:t>
            </w:r>
            <w:r>
              <w:rPr>
                <w:rFonts w:hint="eastAsia" w:ascii="仿宋_GB2312" w:hAnsi="华文仿宋" w:eastAsia="仿宋_GB2312" w:cs="Times New Roman"/>
                <w:color w:val="auto"/>
                <w:sz w:val="24"/>
                <w:szCs w:val="24"/>
                <w:highlight w:val="none"/>
              </w:rPr>
              <w:t>17：00前</w:t>
            </w:r>
            <w:r>
              <w:rPr>
                <w:rFonts w:hint="eastAsia" w:ascii="仿宋_GB2312" w:hAnsi="华文仿宋" w:eastAsia="仿宋_GB2312" w:cs="Times New Roman"/>
                <w:sz w:val="24"/>
                <w:szCs w:val="24"/>
                <w:highlight w:val="none"/>
              </w:rPr>
              <w:t>将此询价单、</w:t>
            </w:r>
            <w:r>
              <w:rPr>
                <w:rFonts w:hint="eastAsia" w:ascii="仿宋" w:hAnsi="仿宋" w:eastAsia="仿宋" w:cs="仿宋"/>
                <w:color w:val="auto"/>
                <w:spacing w:val="-5"/>
                <w:sz w:val="24"/>
                <w:szCs w:val="24"/>
                <w:highlight w:val="none"/>
              </w:rPr>
              <w:t xml:space="preserve">法定代表人身份及授权委托书、营业执照、业绩合同扫描件盖公章寄至芜湖市鸠江区国泰路8号中铁设计广场，收件人：张工，联系电话：18155398729；相关附件扫描件发送至邮箱：389788120@qq.com。 </w:t>
            </w: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报价单位（盖单位公章）</w:t>
            </w:r>
          </w:p>
        </w:tc>
        <w:tc>
          <w:tcPr>
            <w:tcW w:w="7686" w:type="dxa"/>
            <w:vAlign w:val="center"/>
          </w:tcPr>
          <w:p w14:paraId="1860F298">
            <w:pPr>
              <w:keepNext w:val="0"/>
              <w:keepLines w:val="0"/>
              <w:pageBreakBefore w:val="0"/>
              <w:widowControl/>
              <w:wordWrap/>
              <w:overflowPunct/>
              <w:bidi w:val="0"/>
              <w:spacing w:line="240" w:lineRule="auto"/>
              <w:ind w:firstLine="490"/>
              <w:jc w:val="center"/>
              <w:rPr>
                <w:rFonts w:ascii="宋体"/>
                <w:bCs/>
                <w:sz w:val="24"/>
                <w:szCs w:val="24"/>
                <w:highlight w:val="none"/>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法定代表人（签字或盖章）</w:t>
            </w:r>
          </w:p>
        </w:tc>
        <w:tc>
          <w:tcPr>
            <w:tcW w:w="7686" w:type="dxa"/>
            <w:vAlign w:val="center"/>
          </w:tcPr>
          <w:p w14:paraId="002E3C2B">
            <w:pPr>
              <w:keepNext w:val="0"/>
              <w:keepLines w:val="0"/>
              <w:pageBreakBefore w:val="0"/>
              <w:widowControl/>
              <w:wordWrap/>
              <w:overflowPunct/>
              <w:bidi w:val="0"/>
              <w:spacing w:line="240" w:lineRule="auto"/>
              <w:ind w:firstLine="570"/>
              <w:jc w:val="center"/>
              <w:rPr>
                <w:rFonts w:ascii="宋体"/>
                <w:bCs/>
                <w:sz w:val="24"/>
                <w:szCs w:val="24"/>
                <w:highlight w:val="none"/>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50983AB9">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法定代表人或委托代理人联系方式</w:t>
            </w:r>
          </w:p>
        </w:tc>
        <w:tc>
          <w:tcPr>
            <w:tcW w:w="7686" w:type="dxa"/>
            <w:vAlign w:val="center"/>
          </w:tcPr>
          <w:p w14:paraId="7B11B55E">
            <w:pPr>
              <w:keepNext w:val="0"/>
              <w:keepLines w:val="0"/>
              <w:pageBreakBefore w:val="0"/>
              <w:widowControl/>
              <w:wordWrap/>
              <w:overflowPunct/>
              <w:bidi w:val="0"/>
              <w:spacing w:line="240" w:lineRule="auto"/>
              <w:ind w:firstLine="570"/>
              <w:jc w:val="center"/>
              <w:rPr>
                <w:rFonts w:ascii="宋体"/>
                <w:bCs/>
                <w:sz w:val="24"/>
                <w:szCs w:val="24"/>
                <w:highlight w:val="none"/>
              </w:rPr>
            </w:pPr>
          </w:p>
        </w:tc>
      </w:tr>
    </w:tbl>
    <w:p w14:paraId="2433BE7E">
      <w:pPr>
        <w:keepNext w:val="0"/>
        <w:keepLines w:val="0"/>
        <w:pageBreakBefore w:val="0"/>
        <w:widowControl/>
        <w:wordWrap/>
        <w:overflowPunct/>
        <w:bidi w:val="0"/>
        <w:spacing w:line="240" w:lineRule="auto"/>
        <w:ind w:right="280" w:firstLine="570"/>
        <w:jc w:val="right"/>
        <w:rPr>
          <w:rFonts w:hint="eastAsia"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EF5DBD"/>
    <w:rsid w:val="1DB4301A"/>
    <w:rsid w:val="1E4B43BF"/>
    <w:rsid w:val="1F83559B"/>
    <w:rsid w:val="217A702E"/>
    <w:rsid w:val="21FC3324"/>
    <w:rsid w:val="231B37F2"/>
    <w:rsid w:val="24CA3807"/>
    <w:rsid w:val="25AA6854"/>
    <w:rsid w:val="262A7CEB"/>
    <w:rsid w:val="26A72EF0"/>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E93263"/>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2758</Words>
  <Characters>2948</Characters>
  <Lines>20</Lines>
  <Paragraphs>5</Paragraphs>
  <TotalTime>28</TotalTime>
  <ScaleCrop>false</ScaleCrop>
  <LinksUpToDate>false</LinksUpToDate>
  <CharactersWithSpaces>3093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2026-03-04T02:19:31Z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483029E1574D441AB276C124427235AE_13</vt:lpwstr>
  </property>
  <property fmtid="{D5CDD505-2E9C-101B-9397-08002B2CF9AE}" pid="6" name="KSOTemplateDocerSaveRecord">
    <vt:lpwstr>eyJoZGlkIjoiYTBkOGQzNDQzYzg3Nzc5OTVmNTQ2YzkwZmQ1ZTQyODQiLCJ1c2VySWQiOiI0NDMzODQ1MTYifQ==</vt:lpwstr>
  </property>
</Properties>
</file>